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57" w:rsidRDefault="006765CB" w:rsidP="00B1128A">
      <w:pPr>
        <w:pStyle w:val="a8"/>
        <w:rPr>
          <w:rFonts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D4957" w:rsidRDefault="00FD4957" w:rsidP="006765CB">
      <w:pPr>
        <w:pStyle w:val="a8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017F">
        <w:rPr>
          <w:rFonts w:ascii="Times New Roman" w:hAnsi="Times New Roman" w:cs="Times New Roman"/>
          <w:b/>
          <w:noProof/>
          <w:lang w:val="ru-RU" w:eastAsia="ru-RU" w:bidi="ar-SA"/>
        </w:rPr>
        <w:drawing>
          <wp:inline distT="0" distB="0" distL="0" distR="0">
            <wp:extent cx="55308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У К Р А Ї Н А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Кам'янсько-Дніпровська міська рада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17F">
        <w:rPr>
          <w:rFonts w:ascii="Times New Roman" w:hAnsi="Times New Roman" w:cs="Times New Roman"/>
          <w:b/>
          <w:sz w:val="28"/>
          <w:szCs w:val="28"/>
        </w:rPr>
        <w:t>Кам’янсько-Дніпровського</w:t>
      </w:r>
      <w:proofErr w:type="spellEnd"/>
      <w:r w:rsidRPr="00F2017F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>Запорізької області</w:t>
      </w:r>
    </w:p>
    <w:p w:rsidR="00F2017F" w:rsidRPr="00F2017F" w:rsidRDefault="006765CB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Тридцята </w:t>
      </w:r>
      <w:r w:rsidR="00F2017F" w:rsidRPr="00F2017F">
        <w:rPr>
          <w:rFonts w:ascii="Times New Roman" w:hAnsi="Times New Roman" w:cs="Times New Roman"/>
          <w:b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/>
          <w:sz w:val="28"/>
          <w:szCs w:val="28"/>
        </w:rPr>
        <w:t>восьмого</w:t>
      </w:r>
      <w:r w:rsidR="00F2017F" w:rsidRPr="00F2017F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7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F2017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F2017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F2017F" w:rsidRPr="00F2017F" w:rsidRDefault="00F2017F" w:rsidP="00F20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C7D" w:rsidRPr="00952935" w:rsidRDefault="00684C74" w:rsidP="00F2017F">
      <w:pPr>
        <w:pStyle w:val="41"/>
        <w:shd w:val="clear" w:color="auto" w:fill="auto"/>
        <w:tabs>
          <w:tab w:val="left" w:pos="4258"/>
          <w:tab w:val="left" w:pos="8482"/>
        </w:tabs>
        <w:spacing w:line="2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18</w:t>
      </w:r>
      <w:r w:rsidR="006765CB">
        <w:rPr>
          <w:sz w:val="28"/>
          <w:szCs w:val="28"/>
        </w:rPr>
        <w:t xml:space="preserve"> жовтня </w:t>
      </w:r>
      <w:r w:rsidR="00416354" w:rsidRPr="00F2017F">
        <w:rPr>
          <w:sz w:val="28"/>
          <w:szCs w:val="28"/>
        </w:rPr>
        <w:t>201</w:t>
      </w:r>
      <w:r w:rsidR="00F2017F" w:rsidRPr="00F2017F">
        <w:rPr>
          <w:sz w:val="28"/>
          <w:szCs w:val="28"/>
        </w:rPr>
        <w:t>9</w:t>
      </w:r>
      <w:r w:rsidR="006765CB">
        <w:rPr>
          <w:sz w:val="28"/>
          <w:szCs w:val="28"/>
        </w:rPr>
        <w:t xml:space="preserve"> року           </w:t>
      </w:r>
      <w:r w:rsidR="00F2017F" w:rsidRPr="00F2017F">
        <w:rPr>
          <w:sz w:val="28"/>
          <w:szCs w:val="28"/>
        </w:rPr>
        <w:t>Кам’</w:t>
      </w:r>
      <w:r w:rsidR="006765CB">
        <w:rPr>
          <w:sz w:val="28"/>
          <w:szCs w:val="28"/>
        </w:rPr>
        <w:t>я</w:t>
      </w:r>
      <w:r w:rsidR="00F2017F" w:rsidRPr="00F2017F">
        <w:rPr>
          <w:sz w:val="28"/>
          <w:szCs w:val="28"/>
        </w:rPr>
        <w:t xml:space="preserve">нка </w:t>
      </w:r>
      <w:r w:rsidR="00F2017F" w:rsidRPr="00952935">
        <w:rPr>
          <w:sz w:val="28"/>
          <w:szCs w:val="28"/>
        </w:rPr>
        <w:t>Дніпровська</w:t>
      </w:r>
      <w:r w:rsidR="006765CB" w:rsidRPr="00952935">
        <w:rPr>
          <w:sz w:val="28"/>
          <w:szCs w:val="28"/>
        </w:rPr>
        <w:t xml:space="preserve">                                   </w:t>
      </w:r>
      <w:r w:rsidR="00416354" w:rsidRPr="00952935">
        <w:rPr>
          <w:sz w:val="28"/>
          <w:szCs w:val="28"/>
        </w:rPr>
        <w:t xml:space="preserve">№ </w:t>
      </w:r>
      <w:r w:rsidRPr="00952935">
        <w:rPr>
          <w:sz w:val="28"/>
          <w:szCs w:val="28"/>
        </w:rPr>
        <w:t>26</w:t>
      </w:r>
    </w:p>
    <w:p w:rsidR="00F2017F" w:rsidRPr="00952935" w:rsidRDefault="00F2017F" w:rsidP="00F2017F">
      <w:pPr>
        <w:pStyle w:val="41"/>
        <w:shd w:val="clear" w:color="auto" w:fill="auto"/>
        <w:tabs>
          <w:tab w:val="left" w:pos="4258"/>
          <w:tab w:val="left" w:pos="8482"/>
        </w:tabs>
        <w:spacing w:line="240" w:lineRule="exact"/>
        <w:jc w:val="left"/>
        <w:rPr>
          <w:sz w:val="28"/>
          <w:szCs w:val="28"/>
        </w:rPr>
      </w:pPr>
    </w:p>
    <w:p w:rsidR="00F2017F" w:rsidRDefault="00CD6D0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416354" w:rsidRPr="00F2017F">
        <w:rPr>
          <w:sz w:val="28"/>
          <w:szCs w:val="28"/>
        </w:rPr>
        <w:t xml:space="preserve"> нормативів для одиниці </w:t>
      </w:r>
    </w:p>
    <w:p w:rsidR="00F2017F" w:rsidRDefault="00416354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 w:rsidRPr="00F2017F">
        <w:rPr>
          <w:sz w:val="28"/>
          <w:szCs w:val="28"/>
        </w:rPr>
        <w:t>створеної потужності об’єкту будівництва</w:t>
      </w:r>
    </w:p>
    <w:p w:rsidR="00585C7D" w:rsidRDefault="00416354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  <w:r w:rsidRPr="00F2017F">
        <w:rPr>
          <w:sz w:val="28"/>
          <w:szCs w:val="28"/>
        </w:rPr>
        <w:t xml:space="preserve">по </w:t>
      </w:r>
      <w:proofErr w:type="spellStart"/>
      <w:r w:rsidR="00F2017F" w:rsidRPr="00F2017F">
        <w:rPr>
          <w:sz w:val="28"/>
          <w:szCs w:val="28"/>
        </w:rPr>
        <w:t>Кам’янсько-Дніпровській</w:t>
      </w:r>
      <w:proofErr w:type="spellEnd"/>
      <w:r w:rsidR="00F2017F" w:rsidRPr="00F2017F">
        <w:rPr>
          <w:sz w:val="28"/>
          <w:szCs w:val="28"/>
        </w:rPr>
        <w:t xml:space="preserve"> міській</w:t>
      </w:r>
      <w:r w:rsidRPr="00F2017F">
        <w:rPr>
          <w:sz w:val="28"/>
          <w:szCs w:val="28"/>
        </w:rPr>
        <w:t xml:space="preserve"> раді на 201</w:t>
      </w:r>
      <w:r w:rsidR="00F2017F" w:rsidRPr="00F2017F">
        <w:rPr>
          <w:sz w:val="28"/>
          <w:szCs w:val="28"/>
        </w:rPr>
        <w:t>9</w:t>
      </w:r>
      <w:r w:rsidRPr="00F2017F">
        <w:rPr>
          <w:sz w:val="28"/>
          <w:szCs w:val="28"/>
        </w:rPr>
        <w:t xml:space="preserve"> рік</w:t>
      </w:r>
    </w:p>
    <w:p w:rsidR="00F2017F" w:rsidRDefault="00F2017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</w:p>
    <w:p w:rsidR="00F2017F" w:rsidRPr="00F2017F" w:rsidRDefault="00F2017F">
      <w:pPr>
        <w:pStyle w:val="41"/>
        <w:shd w:val="clear" w:color="auto" w:fill="auto"/>
        <w:spacing w:line="288" w:lineRule="exact"/>
        <w:jc w:val="left"/>
        <w:rPr>
          <w:sz w:val="28"/>
          <w:szCs w:val="28"/>
        </w:rPr>
      </w:pPr>
    </w:p>
    <w:p w:rsidR="00585C7D" w:rsidRDefault="00416354" w:rsidP="00F274D1">
      <w:pPr>
        <w:pStyle w:val="41"/>
        <w:shd w:val="clear" w:color="auto" w:fill="auto"/>
        <w:ind w:firstLine="360"/>
        <w:jc w:val="both"/>
        <w:rPr>
          <w:sz w:val="28"/>
          <w:szCs w:val="28"/>
        </w:rPr>
      </w:pPr>
      <w:r w:rsidRPr="00F2017F">
        <w:rPr>
          <w:sz w:val="28"/>
          <w:szCs w:val="28"/>
        </w:rPr>
        <w:t xml:space="preserve">Керуючись статтями 31, 59 Закону України «Про місцеве самоврядування в Україні», статтею 40 Закону України «Про регулювання містобудівної діяльності», статтею 9 Закону України «Про засади державної регуляторної політики у сфері господарської діяльності», враховуючи Наказ Міністерства регіонального розвитку, будівництва та житлово-комунального господарства України від </w:t>
      </w:r>
      <w:r w:rsidR="005C7621" w:rsidRPr="005C7621">
        <w:rPr>
          <w:sz w:val="28"/>
          <w:szCs w:val="28"/>
        </w:rPr>
        <w:t>06</w:t>
      </w:r>
      <w:r w:rsidRPr="005C7621">
        <w:rPr>
          <w:sz w:val="28"/>
          <w:szCs w:val="28"/>
        </w:rPr>
        <w:t>.1</w:t>
      </w:r>
      <w:r w:rsidR="005C7621" w:rsidRPr="005C7621">
        <w:rPr>
          <w:sz w:val="28"/>
          <w:szCs w:val="28"/>
        </w:rPr>
        <w:t>2</w:t>
      </w:r>
      <w:r w:rsidRPr="005C7621">
        <w:rPr>
          <w:sz w:val="28"/>
          <w:szCs w:val="28"/>
        </w:rPr>
        <w:t>.201</w:t>
      </w:r>
      <w:r w:rsidR="005C7621" w:rsidRPr="005C7621">
        <w:rPr>
          <w:sz w:val="28"/>
          <w:szCs w:val="28"/>
        </w:rPr>
        <w:t>8</w:t>
      </w:r>
      <w:r w:rsidRPr="005C7621">
        <w:rPr>
          <w:sz w:val="28"/>
          <w:szCs w:val="28"/>
        </w:rPr>
        <w:t xml:space="preserve"> № </w:t>
      </w:r>
      <w:r w:rsidR="005C7621" w:rsidRPr="005C7621">
        <w:rPr>
          <w:sz w:val="28"/>
          <w:szCs w:val="28"/>
        </w:rPr>
        <w:t>335</w:t>
      </w:r>
      <w:r w:rsidRPr="005C7621">
        <w:rPr>
          <w:sz w:val="28"/>
          <w:szCs w:val="28"/>
        </w:rPr>
        <w:t xml:space="preserve">, </w:t>
      </w:r>
      <w:r w:rsidRPr="001353FA">
        <w:rPr>
          <w:sz w:val="28"/>
          <w:szCs w:val="28"/>
        </w:rPr>
        <w:t xml:space="preserve">Лист </w:t>
      </w:r>
      <w:proofErr w:type="spellStart"/>
      <w:r w:rsidRPr="001353FA">
        <w:rPr>
          <w:sz w:val="28"/>
          <w:szCs w:val="28"/>
        </w:rPr>
        <w:t>Мінрегіонбуду</w:t>
      </w:r>
      <w:proofErr w:type="spellEnd"/>
      <w:r w:rsidRPr="001353FA">
        <w:rPr>
          <w:sz w:val="28"/>
          <w:szCs w:val="28"/>
        </w:rPr>
        <w:t xml:space="preserve"> України від 26.01.18 р. № 7/15-945 «Про індекси зміни вартості станом на 1 січня 2018 року»</w:t>
      </w:r>
      <w:r w:rsidRPr="00F2017F">
        <w:rPr>
          <w:sz w:val="28"/>
          <w:szCs w:val="28"/>
        </w:rPr>
        <w:t xml:space="preserve"> </w:t>
      </w:r>
      <w:r w:rsidR="00F2017F">
        <w:rPr>
          <w:sz w:val="28"/>
          <w:szCs w:val="28"/>
        </w:rPr>
        <w:t xml:space="preserve"> </w:t>
      </w:r>
      <w:proofErr w:type="spellStart"/>
      <w:r w:rsidR="00F2017F">
        <w:rPr>
          <w:sz w:val="28"/>
          <w:szCs w:val="28"/>
        </w:rPr>
        <w:t>Кам’янсько-Дніпровськ</w:t>
      </w:r>
      <w:r w:rsidR="009D1AA1">
        <w:rPr>
          <w:sz w:val="28"/>
          <w:szCs w:val="28"/>
        </w:rPr>
        <w:t>а</w:t>
      </w:r>
      <w:proofErr w:type="spellEnd"/>
      <w:r w:rsidR="00F2017F">
        <w:rPr>
          <w:sz w:val="28"/>
          <w:szCs w:val="28"/>
        </w:rPr>
        <w:t xml:space="preserve"> міськ</w:t>
      </w:r>
      <w:r w:rsidR="009D1AA1">
        <w:rPr>
          <w:sz w:val="28"/>
          <w:szCs w:val="28"/>
        </w:rPr>
        <w:t>а</w:t>
      </w:r>
      <w:r w:rsidR="00F2017F">
        <w:rPr>
          <w:sz w:val="28"/>
          <w:szCs w:val="28"/>
        </w:rPr>
        <w:t xml:space="preserve"> рад</w:t>
      </w:r>
      <w:r w:rsidR="009D1AA1">
        <w:rPr>
          <w:sz w:val="28"/>
          <w:szCs w:val="28"/>
        </w:rPr>
        <w:t>а</w:t>
      </w:r>
    </w:p>
    <w:p w:rsidR="00220473" w:rsidRDefault="00220473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585C7D" w:rsidRDefault="006765CB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и р і ш и л а</w:t>
      </w:r>
      <w:r w:rsidR="00416354" w:rsidRPr="00F2017F">
        <w:rPr>
          <w:sz w:val="28"/>
          <w:szCs w:val="28"/>
        </w:rPr>
        <w:t>:</w:t>
      </w:r>
    </w:p>
    <w:p w:rsidR="00CD6D0F" w:rsidRDefault="00CD6D0F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CD6D0F" w:rsidRDefault="00F274D1" w:rsidP="00F274D1">
      <w:pPr>
        <w:pStyle w:val="41"/>
        <w:shd w:val="clear" w:color="auto" w:fill="auto"/>
        <w:spacing w:line="288" w:lineRule="exact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CD6D0F">
        <w:rPr>
          <w:sz w:val="28"/>
          <w:szCs w:val="28"/>
        </w:rPr>
        <w:t>1. Затвердити нормативи</w:t>
      </w:r>
      <w:r w:rsidR="00CD6D0F" w:rsidRPr="00CD6D0F">
        <w:rPr>
          <w:sz w:val="28"/>
          <w:szCs w:val="28"/>
        </w:rPr>
        <w:t xml:space="preserve"> </w:t>
      </w:r>
      <w:r w:rsidR="00CD6D0F" w:rsidRPr="00F2017F">
        <w:rPr>
          <w:sz w:val="28"/>
          <w:szCs w:val="28"/>
        </w:rPr>
        <w:t>для одиниці створеної потужності об’єкту будівництва</w:t>
      </w:r>
      <w:r w:rsidRPr="00F274D1">
        <w:rPr>
          <w:sz w:val="28"/>
          <w:szCs w:val="28"/>
        </w:rPr>
        <w:t xml:space="preserve"> </w:t>
      </w:r>
      <w:r w:rsidR="00CD6D0F" w:rsidRPr="00F2017F">
        <w:rPr>
          <w:sz w:val="28"/>
          <w:szCs w:val="28"/>
        </w:rPr>
        <w:t xml:space="preserve">по </w:t>
      </w:r>
      <w:proofErr w:type="spellStart"/>
      <w:r w:rsidR="00CD6D0F" w:rsidRPr="00F2017F">
        <w:rPr>
          <w:sz w:val="28"/>
          <w:szCs w:val="28"/>
        </w:rPr>
        <w:t>Кам’янсько-Дніпровській</w:t>
      </w:r>
      <w:proofErr w:type="spellEnd"/>
      <w:r w:rsidR="00CD6D0F" w:rsidRPr="00F2017F">
        <w:rPr>
          <w:sz w:val="28"/>
          <w:szCs w:val="28"/>
        </w:rPr>
        <w:t xml:space="preserve"> міській раді на 2019 рік</w:t>
      </w:r>
      <w:r w:rsidR="00CD6D0F">
        <w:rPr>
          <w:sz w:val="28"/>
          <w:szCs w:val="28"/>
        </w:rPr>
        <w:t xml:space="preserve"> (додаються).</w:t>
      </w:r>
    </w:p>
    <w:p w:rsidR="006765CB" w:rsidRDefault="006765CB" w:rsidP="00F274D1">
      <w:pPr>
        <w:pStyle w:val="41"/>
        <w:shd w:val="clear" w:color="auto" w:fill="auto"/>
        <w:spacing w:line="288" w:lineRule="exact"/>
        <w:jc w:val="both"/>
        <w:rPr>
          <w:sz w:val="28"/>
          <w:szCs w:val="28"/>
        </w:rPr>
      </w:pPr>
    </w:p>
    <w:p w:rsidR="00CD6D0F" w:rsidRDefault="00F274D1" w:rsidP="00F274D1">
      <w:pPr>
        <w:pStyle w:val="aa"/>
        <w:tabs>
          <w:tab w:val="left" w:pos="709"/>
          <w:tab w:val="left" w:pos="1134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CD6D0F" w:rsidRPr="00CD6D0F">
        <w:rPr>
          <w:rFonts w:ascii="Times New Roman" w:hAnsi="Times New Roman"/>
          <w:sz w:val="28"/>
          <w:szCs w:val="28"/>
        </w:rPr>
        <w:t>2</w:t>
      </w:r>
      <w:r w:rsidR="00CD6D0F" w:rsidRPr="0007075A">
        <w:rPr>
          <w:rFonts w:ascii="Times New Roman" w:hAnsi="Times New Roman"/>
          <w:noProof/>
          <w:sz w:val="28"/>
          <w:szCs w:val="28"/>
        </w:rPr>
        <w:t>. Оприлюднити рішення в друкованих засобах масової  інформації  та на офіційному веб-сайті Кам'янсько-Дніпровської міської ради.</w:t>
      </w:r>
    </w:p>
    <w:p w:rsidR="006765CB" w:rsidRPr="0007075A" w:rsidRDefault="006765CB" w:rsidP="00F274D1">
      <w:pPr>
        <w:pStyle w:val="aa"/>
        <w:tabs>
          <w:tab w:val="left" w:pos="709"/>
          <w:tab w:val="left" w:pos="1134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</w:p>
    <w:p w:rsidR="00CD6D0F" w:rsidRPr="00CD6D0F" w:rsidRDefault="00F274D1" w:rsidP="00F274D1">
      <w:pPr>
        <w:pStyle w:val="41"/>
        <w:shd w:val="clear" w:color="auto" w:fill="auto"/>
        <w:tabs>
          <w:tab w:val="left" w:pos="709"/>
        </w:tabs>
        <w:spacing w:line="326" w:lineRule="exact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 w:rsidR="00CD6D0F">
        <w:rPr>
          <w:sz w:val="28"/>
          <w:szCs w:val="28"/>
        </w:rPr>
        <w:t xml:space="preserve">3. </w:t>
      </w:r>
      <w:r w:rsidR="00416354" w:rsidRPr="00F2017F">
        <w:rPr>
          <w:sz w:val="28"/>
          <w:szCs w:val="28"/>
        </w:rPr>
        <w:t xml:space="preserve">Контроль за виконанням рішення </w:t>
      </w:r>
      <w:r w:rsidR="00CD6D0F">
        <w:rPr>
          <w:sz w:val="28"/>
          <w:szCs w:val="28"/>
        </w:rPr>
        <w:t xml:space="preserve">покласти </w:t>
      </w:r>
      <w:r w:rsidR="00CD6D0F" w:rsidRPr="00CD6D0F">
        <w:rPr>
          <w:sz w:val="28"/>
          <w:szCs w:val="28"/>
        </w:rPr>
        <w:t>на постійну комісію з питань комунальної власності, житлово-комунального господарства та благоустрою території міста.</w:t>
      </w:r>
    </w:p>
    <w:p w:rsidR="009D1AA1" w:rsidRDefault="009D1AA1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93160E" w:rsidRDefault="0093160E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93160E" w:rsidRDefault="0093160E" w:rsidP="00F274D1">
      <w:pPr>
        <w:pStyle w:val="41"/>
        <w:shd w:val="clear" w:color="auto" w:fill="auto"/>
        <w:tabs>
          <w:tab w:val="left" w:pos="1243"/>
        </w:tabs>
        <w:spacing w:line="326" w:lineRule="exact"/>
        <w:jc w:val="both"/>
        <w:rPr>
          <w:sz w:val="28"/>
          <w:szCs w:val="28"/>
        </w:rPr>
      </w:pPr>
    </w:p>
    <w:p w:rsidR="00585C7D" w:rsidRDefault="009D1AA1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Міський </w:t>
      </w:r>
      <w:r w:rsidR="00416354" w:rsidRPr="00F2017F">
        <w:rPr>
          <w:sz w:val="28"/>
          <w:szCs w:val="28"/>
        </w:rPr>
        <w:t xml:space="preserve"> голова</w:t>
      </w:r>
      <w:r>
        <w:rPr>
          <w:sz w:val="28"/>
          <w:szCs w:val="28"/>
        </w:rPr>
        <w:t xml:space="preserve">                                                               В.В. Антоненко</w:t>
      </w: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EC1305" w:rsidRDefault="00EC1305" w:rsidP="00F274D1">
      <w:pPr>
        <w:pStyle w:val="41"/>
        <w:shd w:val="clear" w:color="auto" w:fill="auto"/>
        <w:spacing w:line="240" w:lineRule="exact"/>
        <w:jc w:val="both"/>
        <w:rPr>
          <w:sz w:val="28"/>
          <w:szCs w:val="28"/>
        </w:rPr>
      </w:pPr>
    </w:p>
    <w:p w:rsidR="009D1AA1" w:rsidRDefault="009D1AA1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119"/>
      </w:tblGrid>
      <w:tr w:rsidR="00DE4544" w:rsidRPr="00B7555A" w:rsidTr="00DE4544">
        <w:trPr>
          <w:trHeight w:val="356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Проект вносить:</w:t>
            </w:r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DE4544">
        <w:trPr>
          <w:trHeight w:val="705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економічного</w:t>
            </w:r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розвитку, інвестицій та інфраструктури</w:t>
            </w:r>
          </w:p>
        </w:tc>
        <w:tc>
          <w:tcPr>
            <w:tcW w:w="3119" w:type="dxa"/>
          </w:tcPr>
          <w:p w:rsidR="00DE4544" w:rsidRPr="00DF7135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Г.А.Шевердя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єва</w:t>
            </w:r>
            <w:proofErr w:type="spellEnd"/>
          </w:p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952935">
        <w:trPr>
          <w:trHeight w:val="387"/>
        </w:trPr>
        <w:tc>
          <w:tcPr>
            <w:tcW w:w="7054" w:type="dxa"/>
          </w:tcPr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  <w:p w:rsidR="00DE4544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8F7" w:rsidRPr="00B7555A" w:rsidRDefault="00C858F7" w:rsidP="009529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DE4544" w:rsidRPr="00BB1B92" w:rsidRDefault="00DE4544" w:rsidP="00C858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544" w:rsidRPr="00B7555A" w:rsidTr="00DE4544">
        <w:trPr>
          <w:trHeight w:val="643"/>
        </w:trPr>
        <w:tc>
          <w:tcPr>
            <w:tcW w:w="7054" w:type="dxa"/>
          </w:tcPr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3119" w:type="dxa"/>
          </w:tcPr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Д.Л. </w:t>
            </w:r>
            <w:proofErr w:type="spellStart"/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</w:p>
          <w:p w:rsidR="00DE4544" w:rsidRPr="00B7555A" w:rsidRDefault="00DE4544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935" w:rsidRPr="00B7555A" w:rsidTr="00DE4544">
        <w:trPr>
          <w:trHeight w:val="643"/>
        </w:trPr>
        <w:tc>
          <w:tcPr>
            <w:tcW w:w="7054" w:type="dxa"/>
          </w:tcPr>
          <w:p w:rsidR="00952935" w:rsidRDefault="00952935" w:rsidP="00952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</w:t>
            </w: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 xml:space="preserve"> містобудування </w:t>
            </w:r>
          </w:p>
          <w:p w:rsidR="00952935" w:rsidRPr="00B7555A" w:rsidRDefault="00952935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8F7">
              <w:rPr>
                <w:rFonts w:ascii="Times New Roman" w:hAnsi="Times New Roman" w:cs="Times New Roman"/>
                <w:sz w:val="28"/>
                <w:szCs w:val="28"/>
              </w:rPr>
              <w:t>та архітектури</w:t>
            </w:r>
          </w:p>
        </w:tc>
        <w:tc>
          <w:tcPr>
            <w:tcW w:w="3119" w:type="dxa"/>
          </w:tcPr>
          <w:p w:rsidR="00952935" w:rsidRPr="00B7555A" w:rsidRDefault="00952935" w:rsidP="00DE4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Бурдуков</w:t>
            </w:r>
            <w:proofErr w:type="spellEnd"/>
          </w:p>
        </w:tc>
      </w:tr>
      <w:tr w:rsidR="00DE4544" w:rsidRPr="00B7555A" w:rsidTr="00DE4544">
        <w:trPr>
          <w:trHeight w:val="337"/>
        </w:trPr>
        <w:tc>
          <w:tcPr>
            <w:tcW w:w="7054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відділу </w:t>
            </w:r>
          </w:p>
        </w:tc>
        <w:tc>
          <w:tcPr>
            <w:tcW w:w="3119" w:type="dxa"/>
          </w:tcPr>
          <w:p w:rsidR="00DE4544" w:rsidRPr="00B7555A" w:rsidRDefault="00DE4544" w:rsidP="00DE4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М.С. Костенко</w:t>
            </w:r>
          </w:p>
        </w:tc>
      </w:tr>
    </w:tbl>
    <w:p w:rsidR="008413FA" w:rsidRPr="008413FA" w:rsidRDefault="008413FA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9D1AA1" w:rsidRDefault="009D1AA1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DE4544" w:rsidRPr="00FD4957" w:rsidRDefault="00DE4544">
      <w:pPr>
        <w:pStyle w:val="41"/>
        <w:shd w:val="clear" w:color="auto" w:fill="auto"/>
        <w:spacing w:line="240" w:lineRule="exact"/>
        <w:jc w:val="left"/>
        <w:rPr>
          <w:sz w:val="28"/>
          <w:szCs w:val="28"/>
          <w:lang w:val="ru-RU"/>
        </w:rPr>
      </w:pPr>
    </w:p>
    <w:p w:rsidR="00CD6D0F" w:rsidRDefault="00CD6D0F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EC1305" w:rsidRDefault="00EC1305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EC1305" w:rsidRDefault="00EC1305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p w:rsidR="00C858F7" w:rsidRDefault="00C858F7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3271" w:type="dxa"/>
        <w:tblInd w:w="6487" w:type="dxa"/>
        <w:tblLook w:val="0000"/>
      </w:tblPr>
      <w:tblGrid>
        <w:gridCol w:w="3271"/>
      </w:tblGrid>
      <w:tr w:rsidR="00FD4957" w:rsidTr="006765CB">
        <w:trPr>
          <w:trHeight w:val="1395"/>
        </w:trPr>
        <w:tc>
          <w:tcPr>
            <w:tcW w:w="3271" w:type="dxa"/>
          </w:tcPr>
          <w:p w:rsidR="00FD4957" w:rsidRPr="00C54C94" w:rsidRDefault="00FD4957" w:rsidP="00FD4957">
            <w:pPr>
              <w:pStyle w:val="a8"/>
              <w:rPr>
                <w:rFonts w:ascii="Times New Roman" w:hAnsi="Times New Roman" w:cs="Times New Roman"/>
              </w:rPr>
            </w:pPr>
            <w:r w:rsidRPr="002C64D2">
              <w:rPr>
                <w:rFonts w:ascii="Times New Roman" w:hAnsi="Times New Roman" w:cs="Times New Roman"/>
              </w:rPr>
              <w:lastRenderedPageBreak/>
              <w:t>ЗАТВЕРДЖЕНО</w:t>
            </w:r>
          </w:p>
          <w:p w:rsidR="00FD4957" w:rsidRPr="00C54C94" w:rsidRDefault="00FD4957" w:rsidP="00FD4957">
            <w:pPr>
              <w:pStyle w:val="a8"/>
              <w:rPr>
                <w:rFonts w:ascii="Times New Roman" w:hAnsi="Times New Roman" w:cs="Times New Roman"/>
              </w:rPr>
            </w:pPr>
            <w:r w:rsidRPr="00C54C94">
              <w:rPr>
                <w:rFonts w:ascii="Times New Roman" w:hAnsi="Times New Roman" w:cs="Times New Roman"/>
              </w:rPr>
              <w:t>р</w:t>
            </w:r>
            <w:r w:rsidR="00C54C94">
              <w:rPr>
                <w:rFonts w:ascii="Times New Roman" w:hAnsi="Times New Roman" w:cs="Times New Roman"/>
              </w:rPr>
              <w:t xml:space="preserve">ішення </w:t>
            </w:r>
            <w:r w:rsidR="00C54C94" w:rsidRPr="00C54C94">
              <w:rPr>
                <w:rFonts w:ascii="Times New Roman" w:hAnsi="Times New Roman" w:cs="Times New Roman"/>
              </w:rPr>
              <w:t xml:space="preserve"> </w:t>
            </w:r>
            <w:r w:rsidRPr="002C64D2">
              <w:rPr>
                <w:rFonts w:ascii="Times New Roman" w:hAnsi="Times New Roman" w:cs="Times New Roman"/>
              </w:rPr>
              <w:t>сесії</w:t>
            </w:r>
            <w:r w:rsidR="006765CB">
              <w:rPr>
                <w:rFonts w:ascii="Times New Roman" w:hAnsi="Times New Roman" w:cs="Times New Roman"/>
              </w:rPr>
              <w:t xml:space="preserve"> </w:t>
            </w:r>
            <w:r w:rsidRPr="002C64D2">
              <w:rPr>
                <w:rFonts w:ascii="Times New Roman" w:hAnsi="Times New Roman" w:cs="Times New Roman"/>
              </w:rPr>
              <w:t xml:space="preserve"> </w:t>
            </w:r>
            <w:r w:rsidR="006765CB" w:rsidRPr="002C64D2">
              <w:rPr>
                <w:rFonts w:ascii="Times New Roman" w:hAnsi="Times New Roman" w:cs="Times New Roman"/>
              </w:rPr>
              <w:t>міської ради</w:t>
            </w:r>
            <w:r w:rsidRPr="002C64D2">
              <w:rPr>
                <w:rFonts w:ascii="Times New Roman" w:hAnsi="Times New Roman" w:cs="Times New Roman"/>
              </w:rPr>
              <w:t xml:space="preserve">                        </w:t>
            </w:r>
            <w:r w:rsidR="006765CB">
              <w:rPr>
                <w:rFonts w:ascii="Times New Roman" w:hAnsi="Times New Roman" w:cs="Times New Roman"/>
              </w:rPr>
              <w:t xml:space="preserve">   </w:t>
            </w:r>
          </w:p>
          <w:p w:rsidR="00FD4957" w:rsidRPr="002C64D2" w:rsidRDefault="00684C74" w:rsidP="00FD49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 18 жовтня 2019 р. № 26</w:t>
            </w:r>
          </w:p>
          <w:p w:rsidR="00FD4957" w:rsidRPr="002C64D2" w:rsidRDefault="00FD4957" w:rsidP="00FD4957">
            <w:pPr>
              <w:pStyle w:val="22"/>
              <w:spacing w:line="274" w:lineRule="exact"/>
              <w:jc w:val="right"/>
            </w:pPr>
          </w:p>
        </w:tc>
      </w:tr>
    </w:tbl>
    <w:p w:rsidR="002F350C" w:rsidRDefault="009D1AA1" w:rsidP="00CD6D0F">
      <w:pPr>
        <w:pStyle w:val="22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6D0F">
        <w:rPr>
          <w:sz w:val="28"/>
          <w:szCs w:val="28"/>
        </w:rPr>
        <w:t xml:space="preserve">                           </w:t>
      </w:r>
    </w:p>
    <w:p w:rsidR="009D1AA1" w:rsidRPr="000F39F1" w:rsidRDefault="009D1AA1" w:rsidP="000F39F1">
      <w:pPr>
        <w:pStyle w:val="a8"/>
        <w:jc w:val="right"/>
        <w:rPr>
          <w:rFonts w:ascii="Times New Roman" w:hAnsi="Times New Roman" w:cs="Times New Roman"/>
          <w:sz w:val="18"/>
          <w:szCs w:val="18"/>
        </w:rPr>
      </w:pPr>
      <w:r w:rsidRPr="000F39F1"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</w:p>
    <w:p w:rsidR="00F274D1" w:rsidRDefault="009D1AA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</w:t>
      </w:r>
      <w:r w:rsidR="00416354" w:rsidRPr="009D1AA1">
        <w:rPr>
          <w:b/>
          <w:sz w:val="28"/>
          <w:szCs w:val="28"/>
        </w:rPr>
        <w:t xml:space="preserve">ормативи для одиниці створеної потужності об’єкту </w:t>
      </w:r>
    </w:p>
    <w:p w:rsidR="00F274D1" w:rsidRDefault="00416354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 w:rsidRPr="009D1AA1">
        <w:rPr>
          <w:b/>
          <w:sz w:val="28"/>
          <w:szCs w:val="28"/>
        </w:rPr>
        <w:t xml:space="preserve">будівництва по </w:t>
      </w:r>
      <w:proofErr w:type="spellStart"/>
      <w:r w:rsidR="009D1AA1">
        <w:rPr>
          <w:b/>
          <w:sz w:val="28"/>
          <w:szCs w:val="28"/>
        </w:rPr>
        <w:t>Кам’янсько-Дніпровській</w:t>
      </w:r>
      <w:proofErr w:type="spellEnd"/>
      <w:r w:rsidR="009D1AA1">
        <w:rPr>
          <w:b/>
          <w:sz w:val="28"/>
          <w:szCs w:val="28"/>
        </w:rPr>
        <w:t xml:space="preserve"> </w:t>
      </w:r>
    </w:p>
    <w:p w:rsidR="00EB2AAA" w:rsidRDefault="009D1AA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міській</w:t>
      </w:r>
      <w:r w:rsidR="00416354" w:rsidRPr="009D1AA1">
        <w:rPr>
          <w:b/>
          <w:sz w:val="28"/>
          <w:szCs w:val="28"/>
        </w:rPr>
        <w:t xml:space="preserve"> раді на 201</w:t>
      </w:r>
      <w:r>
        <w:rPr>
          <w:b/>
          <w:sz w:val="28"/>
          <w:szCs w:val="28"/>
        </w:rPr>
        <w:t>9</w:t>
      </w:r>
      <w:r w:rsidR="006765CB">
        <w:rPr>
          <w:b/>
          <w:sz w:val="28"/>
          <w:szCs w:val="28"/>
        </w:rPr>
        <w:t xml:space="preserve"> рік</w:t>
      </w:r>
    </w:p>
    <w:p w:rsidR="00F274D1" w:rsidRPr="00F274D1" w:rsidRDefault="00F274D1" w:rsidP="00F274D1">
      <w:pPr>
        <w:pStyle w:val="22"/>
        <w:shd w:val="clear" w:color="auto" w:fill="auto"/>
        <w:spacing w:line="278" w:lineRule="exact"/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Style w:val="a9"/>
        <w:tblW w:w="10065" w:type="dxa"/>
        <w:tblInd w:w="-318" w:type="dxa"/>
        <w:tblLayout w:type="fixed"/>
        <w:tblLook w:val="04A0"/>
      </w:tblPr>
      <w:tblGrid>
        <w:gridCol w:w="3403"/>
        <w:gridCol w:w="1701"/>
        <w:gridCol w:w="1418"/>
        <w:gridCol w:w="1701"/>
        <w:gridCol w:w="1842"/>
      </w:tblGrid>
      <w:tr w:rsidR="00EC6860" w:rsidTr="006765CB">
        <w:tc>
          <w:tcPr>
            <w:tcW w:w="3403" w:type="dxa"/>
          </w:tcPr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Функціональне призначення об’єкту</w:t>
            </w:r>
          </w:p>
        </w:tc>
        <w:tc>
          <w:tcPr>
            <w:tcW w:w="1701" w:type="dxa"/>
          </w:tcPr>
          <w:p w:rsidR="001F4215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Код об’єкту(</w:t>
            </w:r>
            <w:r w:rsidR="001F4215" w:rsidRPr="001F4215">
              <w:t xml:space="preserve">згідно з державним </w:t>
            </w:r>
            <w:proofErr w:type="spellStart"/>
            <w:r w:rsidR="001F4215" w:rsidRPr="001F4215">
              <w:t>класифікатор</w:t>
            </w:r>
            <w:r w:rsidRPr="001F4215">
              <w:t>м</w:t>
            </w:r>
            <w:proofErr w:type="spellEnd"/>
            <w:r w:rsidRPr="001F4215">
              <w:t xml:space="preserve">  та споруд </w:t>
            </w:r>
          </w:p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 w:rsidRPr="001F4215">
              <w:t>ДК</w:t>
            </w:r>
            <w:proofErr w:type="spellEnd"/>
            <w:r w:rsidRPr="001F4215">
              <w:t xml:space="preserve"> 018-2000)</w:t>
            </w:r>
          </w:p>
        </w:tc>
        <w:tc>
          <w:tcPr>
            <w:tcW w:w="1418" w:type="dxa"/>
          </w:tcPr>
          <w:p w:rsidR="00EC6860" w:rsidRPr="001F4215" w:rsidRDefault="00EC6860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Одиниця виміру потужності</w:t>
            </w:r>
          </w:p>
        </w:tc>
        <w:tc>
          <w:tcPr>
            <w:tcW w:w="3543" w:type="dxa"/>
            <w:gridSpan w:val="2"/>
          </w:tcPr>
          <w:p w:rsidR="00EC6860" w:rsidRPr="001F4215" w:rsidRDefault="00EC6860" w:rsidP="00832B56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Норматив ціни для одиниці створеної потужності</w:t>
            </w:r>
            <w:r w:rsidR="001F4215" w:rsidRPr="001F4215">
              <w:t xml:space="preserve"> (грн.</w:t>
            </w:r>
            <w:r w:rsidR="00832B56">
              <w:t xml:space="preserve"> за 1м</w:t>
            </w:r>
            <w:r w:rsidR="00832B56">
              <w:rPr>
                <w:vertAlign w:val="superscript"/>
              </w:rPr>
              <w:t>2</w:t>
            </w:r>
            <w:r w:rsidR="001F4215" w:rsidRPr="001F4215">
              <w:t>)</w:t>
            </w:r>
          </w:p>
        </w:tc>
      </w:tr>
      <w:tr w:rsidR="001F4215" w:rsidTr="006765CB">
        <w:tc>
          <w:tcPr>
            <w:tcW w:w="3403" w:type="dxa"/>
          </w:tcPr>
          <w:p w:rsidR="00EC6860" w:rsidRPr="00EB6BC2" w:rsidRDefault="001F421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EB6BC2">
              <w:rPr>
                <w:b/>
              </w:rPr>
              <w:t>Будівлі житлові</w:t>
            </w:r>
          </w:p>
        </w:tc>
        <w:tc>
          <w:tcPr>
            <w:tcW w:w="1701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11</w:t>
            </w:r>
          </w:p>
        </w:tc>
        <w:tc>
          <w:tcPr>
            <w:tcW w:w="1418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реконструкція</w:t>
            </w:r>
          </w:p>
        </w:tc>
        <w:tc>
          <w:tcPr>
            <w:tcW w:w="1842" w:type="dxa"/>
          </w:tcPr>
          <w:p w:rsidR="00EC6860" w:rsidRPr="001F4215" w:rsidRDefault="003767FA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832B56">
              <w:t>н</w:t>
            </w:r>
            <w:r w:rsidR="00A14219">
              <w:t>ов</w:t>
            </w:r>
            <w:r w:rsidR="00A14219" w:rsidRPr="00832B56">
              <w:t>е</w:t>
            </w:r>
            <w:r w:rsidR="001F4215" w:rsidRPr="001F4215">
              <w:t xml:space="preserve"> будівництво</w:t>
            </w:r>
          </w:p>
        </w:tc>
      </w:tr>
      <w:tr w:rsidR="001F4215" w:rsidTr="006765CB">
        <w:tc>
          <w:tcPr>
            <w:tcW w:w="3403" w:type="dxa"/>
          </w:tcPr>
          <w:p w:rsidR="00EC6860" w:rsidRPr="001F4215" w:rsidRDefault="001F4215" w:rsidP="00832B56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Б</w:t>
            </w:r>
            <w:r w:rsidR="007844DE">
              <w:t>удівлі садибного типу, дачні та</w:t>
            </w:r>
            <w:r w:rsidRPr="001F4215">
              <w:t xml:space="preserve"> садові (загальною площею</w:t>
            </w:r>
            <w:r w:rsidR="00832B56">
              <w:t xml:space="preserve"> </w:t>
            </w:r>
            <w:r w:rsidRPr="001F4215">
              <w:t>300м</w:t>
            </w:r>
            <w:r w:rsidRPr="001F4215">
              <w:rPr>
                <w:vertAlign w:val="superscript"/>
              </w:rPr>
              <w:t>2</w:t>
            </w:r>
            <w:r w:rsidR="00832B56">
              <w:rPr>
                <w:vertAlign w:val="superscript"/>
              </w:rPr>
              <w:t xml:space="preserve">  </w:t>
            </w:r>
            <w:r w:rsidR="00832B56">
              <w:t>і більше</w:t>
            </w:r>
            <w:r w:rsidRPr="001F4215">
              <w:t>)</w:t>
            </w:r>
          </w:p>
        </w:tc>
        <w:tc>
          <w:tcPr>
            <w:tcW w:w="1701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1110</w:t>
            </w:r>
          </w:p>
        </w:tc>
        <w:tc>
          <w:tcPr>
            <w:tcW w:w="1418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5733.0</w:t>
            </w:r>
          </w:p>
        </w:tc>
        <w:tc>
          <w:tcPr>
            <w:tcW w:w="1842" w:type="dxa"/>
          </w:tcPr>
          <w:p w:rsidR="00EC6860" w:rsidRPr="00A14219" w:rsidRDefault="009C496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11467.0</w:t>
            </w:r>
          </w:p>
        </w:tc>
      </w:tr>
      <w:tr w:rsidR="001F4215" w:rsidTr="006765CB">
        <w:tc>
          <w:tcPr>
            <w:tcW w:w="3403" w:type="dxa"/>
          </w:tcPr>
          <w:p w:rsidR="00EC6860" w:rsidRPr="001F4215" w:rsidRDefault="001F4215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Б</w:t>
            </w:r>
            <w:r w:rsidR="0065037C">
              <w:rPr>
                <w:lang w:val="ru-RU"/>
              </w:rPr>
              <w:t>у</w:t>
            </w:r>
            <w:proofErr w:type="spellStart"/>
            <w:r w:rsidRPr="001F4215">
              <w:t>динки</w:t>
            </w:r>
            <w:proofErr w:type="spellEnd"/>
            <w:r w:rsidRPr="001F4215">
              <w:t xml:space="preserve"> багатоквартирної масової забудови</w:t>
            </w:r>
          </w:p>
        </w:tc>
        <w:tc>
          <w:tcPr>
            <w:tcW w:w="1701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1122</w:t>
            </w:r>
          </w:p>
        </w:tc>
        <w:tc>
          <w:tcPr>
            <w:tcW w:w="1418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4315.0</w:t>
            </w:r>
          </w:p>
        </w:tc>
        <w:tc>
          <w:tcPr>
            <w:tcW w:w="1842" w:type="dxa"/>
          </w:tcPr>
          <w:p w:rsidR="00EC6860" w:rsidRPr="00A14219" w:rsidRDefault="009C496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8629.0</w:t>
            </w:r>
          </w:p>
        </w:tc>
      </w:tr>
      <w:tr w:rsidR="001F4215" w:rsidTr="006765CB">
        <w:tc>
          <w:tcPr>
            <w:tcW w:w="3403" w:type="dxa"/>
          </w:tcPr>
          <w:p w:rsidR="00EC6860" w:rsidRPr="00EB6BC2" w:rsidRDefault="001F421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EB6BC2">
              <w:rPr>
                <w:b/>
              </w:rPr>
              <w:t>Будівлі не житлові</w:t>
            </w:r>
          </w:p>
        </w:tc>
        <w:tc>
          <w:tcPr>
            <w:tcW w:w="1701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</w:t>
            </w:r>
          </w:p>
        </w:tc>
        <w:tc>
          <w:tcPr>
            <w:tcW w:w="1418" w:type="dxa"/>
          </w:tcPr>
          <w:p w:rsidR="00EC6860" w:rsidRPr="001F4215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EC6860" w:rsidRPr="00A14219" w:rsidRDefault="00A14219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реконструкція</w:t>
            </w:r>
          </w:p>
        </w:tc>
        <w:tc>
          <w:tcPr>
            <w:tcW w:w="1842" w:type="dxa"/>
          </w:tcPr>
          <w:p w:rsidR="00EC6860" w:rsidRPr="00A14219" w:rsidRDefault="003767FA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lang w:val="ru-RU"/>
              </w:rPr>
              <w:t>н</w:t>
            </w:r>
            <w:r w:rsidR="00A14219">
              <w:t>ов</w:t>
            </w:r>
            <w:proofErr w:type="spellEnd"/>
            <w:r w:rsidR="00A14219">
              <w:rPr>
                <w:lang w:val="ru-RU"/>
              </w:rPr>
              <w:t xml:space="preserve">е </w:t>
            </w:r>
            <w:r w:rsidR="00A14219" w:rsidRPr="001F4215">
              <w:t>будівництво</w:t>
            </w:r>
          </w:p>
        </w:tc>
      </w:tr>
      <w:tr w:rsidR="001F4215" w:rsidTr="006765CB">
        <w:tc>
          <w:tcPr>
            <w:tcW w:w="3403" w:type="dxa"/>
          </w:tcPr>
          <w:p w:rsidR="00EC6860" w:rsidRPr="00757927" w:rsidRDefault="00757927" w:rsidP="003767FA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Готелі,</w:t>
            </w:r>
            <w:r w:rsidR="003767FA">
              <w:rPr>
                <w:lang w:val="ru-RU"/>
              </w:rPr>
              <w:t xml:space="preserve"> </w:t>
            </w:r>
            <w:r w:rsidR="003767FA">
              <w:t>ресторани</w:t>
            </w:r>
            <w:r w:rsidR="003767FA">
              <w:rPr>
                <w:lang w:val="ru-RU"/>
              </w:rPr>
              <w:t xml:space="preserve">, </w:t>
            </w:r>
            <w:r w:rsidRPr="00757927">
              <w:t>бари</w:t>
            </w:r>
          </w:p>
        </w:tc>
        <w:tc>
          <w:tcPr>
            <w:tcW w:w="1701" w:type="dxa"/>
          </w:tcPr>
          <w:p w:rsidR="00EC6860" w:rsidRPr="00757927" w:rsidRDefault="00757927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1211</w:t>
            </w:r>
          </w:p>
        </w:tc>
        <w:tc>
          <w:tcPr>
            <w:tcW w:w="1418" w:type="dxa"/>
          </w:tcPr>
          <w:p w:rsidR="00EC6860" w:rsidRPr="003767FA" w:rsidRDefault="003767FA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-«-</w:t>
            </w:r>
          </w:p>
        </w:tc>
        <w:tc>
          <w:tcPr>
            <w:tcW w:w="1701" w:type="dxa"/>
          </w:tcPr>
          <w:p w:rsidR="00EC6860" w:rsidRPr="00A14219" w:rsidRDefault="00A14219" w:rsidP="003767FA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A14219">
              <w:rPr>
                <w:lang w:val="ru-RU"/>
              </w:rPr>
              <w:t>65</w:t>
            </w:r>
            <w:r w:rsidR="003767FA">
              <w:rPr>
                <w:lang w:val="ru-RU"/>
              </w:rPr>
              <w:t>0</w:t>
            </w:r>
            <w:r w:rsidRPr="00A14219">
              <w:rPr>
                <w:lang w:val="ru-RU"/>
              </w:rPr>
              <w:t>8.0</w:t>
            </w:r>
          </w:p>
        </w:tc>
        <w:tc>
          <w:tcPr>
            <w:tcW w:w="1842" w:type="dxa"/>
          </w:tcPr>
          <w:p w:rsidR="00EC6860" w:rsidRPr="00A14219" w:rsidRDefault="009C4967" w:rsidP="003767FA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130</w:t>
            </w:r>
            <w:r w:rsidR="003767FA">
              <w:rPr>
                <w:lang w:val="ru-RU"/>
              </w:rPr>
              <w:t>15</w:t>
            </w:r>
            <w:r w:rsidRPr="00A14219">
              <w:t>.0</w:t>
            </w:r>
          </w:p>
        </w:tc>
      </w:tr>
      <w:tr w:rsidR="001F4215" w:rsidTr="006765CB">
        <w:tc>
          <w:tcPr>
            <w:tcW w:w="3403" w:type="dxa"/>
          </w:tcPr>
          <w:p w:rsidR="00EC6860" w:rsidRPr="00757927" w:rsidRDefault="003767FA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будівлі</w:t>
            </w:r>
            <w:r>
              <w:rPr>
                <w:lang w:val="ru-RU"/>
              </w:rPr>
              <w:t>,</w:t>
            </w:r>
            <w:r>
              <w:t xml:space="preserve"> </w:t>
            </w:r>
            <w:r w:rsidR="009C4967">
              <w:t>офіси</w:t>
            </w:r>
            <w:r w:rsidR="00757927" w:rsidRPr="00757927">
              <w:t xml:space="preserve"> </w:t>
            </w:r>
          </w:p>
        </w:tc>
        <w:tc>
          <w:tcPr>
            <w:tcW w:w="1701" w:type="dxa"/>
          </w:tcPr>
          <w:p w:rsidR="00EC6860" w:rsidRPr="00757927" w:rsidRDefault="00757927" w:rsidP="009C4967">
            <w:pPr>
              <w:pStyle w:val="22"/>
              <w:shd w:val="clear" w:color="auto" w:fill="auto"/>
              <w:spacing w:line="278" w:lineRule="exact"/>
              <w:jc w:val="center"/>
            </w:pPr>
            <w:r w:rsidRPr="00757927">
              <w:t>12</w:t>
            </w:r>
            <w:r w:rsidR="009C4967">
              <w:t>2</w:t>
            </w:r>
            <w:r w:rsidRPr="00757927">
              <w:t>0</w:t>
            </w:r>
          </w:p>
        </w:tc>
        <w:tc>
          <w:tcPr>
            <w:tcW w:w="1418" w:type="dxa"/>
          </w:tcPr>
          <w:p w:rsidR="00EC6860" w:rsidRP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BD6EB5"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EC6860" w:rsidRPr="003767FA" w:rsidRDefault="00A14219" w:rsidP="00BD6EB5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3767FA">
              <w:rPr>
                <w:lang w:val="ru-RU"/>
              </w:rPr>
              <w:t>65</w:t>
            </w:r>
            <w:r w:rsidR="00BD6EB5">
              <w:rPr>
                <w:lang w:val="ru-RU"/>
              </w:rPr>
              <w:t>0</w:t>
            </w:r>
            <w:r w:rsidRPr="003767FA">
              <w:rPr>
                <w:lang w:val="ru-RU"/>
              </w:rPr>
              <w:t>8.0</w:t>
            </w:r>
          </w:p>
        </w:tc>
        <w:tc>
          <w:tcPr>
            <w:tcW w:w="1842" w:type="dxa"/>
          </w:tcPr>
          <w:p w:rsidR="00EC6860" w:rsidRPr="00A14219" w:rsidRDefault="009C4967" w:rsidP="00BD6EB5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A14219">
              <w:t>130</w:t>
            </w:r>
            <w:r w:rsidR="00BD6EB5">
              <w:t>15</w:t>
            </w:r>
            <w:r w:rsidRPr="00A14219">
              <w:t>.0</w:t>
            </w:r>
          </w:p>
        </w:tc>
      </w:tr>
      <w:tr w:rsidR="00BD6EB5" w:rsidTr="006765CB">
        <w:tc>
          <w:tcPr>
            <w:tcW w:w="3403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Торгівельні центри, універсами, магазини</w:t>
            </w:r>
          </w:p>
        </w:tc>
        <w:tc>
          <w:tcPr>
            <w:tcW w:w="1701" w:type="dxa"/>
          </w:tcPr>
          <w:p w:rsidR="00BD6EB5" w:rsidRPr="00757927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8" w:type="dxa"/>
          </w:tcPr>
          <w:p w:rsidR="00BD6EB5" w:rsidRP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Pr="003767FA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6518.0</w:t>
            </w:r>
          </w:p>
        </w:tc>
        <w:tc>
          <w:tcPr>
            <w:tcW w:w="1842" w:type="dxa"/>
          </w:tcPr>
          <w:p w:rsidR="00BD6EB5" w:rsidRPr="00A14219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13037.0</w:t>
            </w:r>
          </w:p>
        </w:tc>
      </w:tr>
      <w:tr w:rsidR="00BD6EB5" w:rsidTr="006765CB">
        <w:tc>
          <w:tcPr>
            <w:tcW w:w="3403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Ринки , </w:t>
            </w:r>
            <w:proofErr w:type="spellStart"/>
            <w:r>
              <w:t>павільони</w:t>
            </w:r>
            <w:proofErr w:type="spellEnd"/>
          </w:p>
        </w:tc>
        <w:tc>
          <w:tcPr>
            <w:tcW w:w="1701" w:type="dxa"/>
          </w:tcPr>
          <w:p w:rsidR="00BD6EB5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8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2889.0</w:t>
            </w:r>
          </w:p>
        </w:tc>
        <w:tc>
          <w:tcPr>
            <w:tcW w:w="1842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5778.0</w:t>
            </w:r>
          </w:p>
        </w:tc>
      </w:tr>
      <w:tr w:rsidR="00BD6EB5" w:rsidTr="006765CB">
        <w:tc>
          <w:tcPr>
            <w:tcW w:w="3403" w:type="dxa"/>
          </w:tcPr>
          <w:p w:rsidR="00BD6EB5" w:rsidRDefault="00BD6EB5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Станції технічного обслуговування  </w:t>
            </w:r>
            <w:r w:rsidR="00283AF8">
              <w:t>автомобілів</w:t>
            </w:r>
          </w:p>
        </w:tc>
        <w:tc>
          <w:tcPr>
            <w:tcW w:w="1701" w:type="dxa"/>
          </w:tcPr>
          <w:p w:rsidR="00BD6EB5" w:rsidRDefault="00BD6EB5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8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  <w:tc>
          <w:tcPr>
            <w:tcW w:w="1701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4338.0</w:t>
            </w:r>
          </w:p>
        </w:tc>
        <w:tc>
          <w:tcPr>
            <w:tcW w:w="1842" w:type="dxa"/>
          </w:tcPr>
          <w:p w:rsidR="00BD6EB5" w:rsidRDefault="00BD6EB5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8679.0</w:t>
            </w:r>
          </w:p>
        </w:tc>
      </w:tr>
      <w:tr w:rsidR="009C4967" w:rsidTr="006765CB">
        <w:tc>
          <w:tcPr>
            <w:tcW w:w="3403" w:type="dxa"/>
          </w:tcPr>
          <w:p w:rsidR="009C4967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Їдальні,</w:t>
            </w:r>
            <w:r w:rsidR="009C4967">
              <w:t>кафе,</w:t>
            </w:r>
            <w:r>
              <w:t>закусочні</w:t>
            </w:r>
          </w:p>
        </w:tc>
        <w:tc>
          <w:tcPr>
            <w:tcW w:w="1701" w:type="dxa"/>
          </w:tcPr>
          <w:p w:rsidR="009C4967" w:rsidRPr="00757927" w:rsidRDefault="00A449CB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8" w:type="dxa"/>
          </w:tcPr>
          <w:p w:rsidR="009C4967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283AF8">
              <w:t>-«-</w:t>
            </w:r>
          </w:p>
        </w:tc>
        <w:tc>
          <w:tcPr>
            <w:tcW w:w="1701" w:type="dxa"/>
          </w:tcPr>
          <w:p w:rsidR="009C4967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4356.0</w:t>
            </w:r>
          </w:p>
        </w:tc>
        <w:tc>
          <w:tcPr>
            <w:tcW w:w="1842" w:type="dxa"/>
          </w:tcPr>
          <w:p w:rsidR="009C4967" w:rsidRPr="00283AF8" w:rsidRDefault="00A449CB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283AF8">
              <w:t>8712.0</w:t>
            </w:r>
          </w:p>
        </w:tc>
      </w:tr>
      <w:tr w:rsidR="00A449CB" w:rsidTr="006765CB">
        <w:tc>
          <w:tcPr>
            <w:tcW w:w="3403" w:type="dxa"/>
          </w:tcPr>
          <w:p w:rsidR="00A449CB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 xml:space="preserve">Бази та </w:t>
            </w:r>
            <w:r w:rsidR="00A449CB">
              <w:t>склади</w:t>
            </w:r>
            <w:r>
              <w:t xml:space="preserve"> підприємств торгівлі й громадського харчування</w:t>
            </w:r>
          </w:p>
        </w:tc>
        <w:tc>
          <w:tcPr>
            <w:tcW w:w="1701" w:type="dxa"/>
          </w:tcPr>
          <w:p w:rsidR="00A449CB" w:rsidRPr="00757927" w:rsidRDefault="00A449CB" w:rsidP="009C496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1230</w:t>
            </w:r>
          </w:p>
        </w:tc>
        <w:tc>
          <w:tcPr>
            <w:tcW w:w="1418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283AF8">
              <w:rPr>
                <w:b/>
              </w:rPr>
              <w:t>-«-</w:t>
            </w:r>
          </w:p>
        </w:tc>
        <w:tc>
          <w:tcPr>
            <w:tcW w:w="1701" w:type="dxa"/>
          </w:tcPr>
          <w:p w:rsidR="00A449CB" w:rsidRPr="00283AF8" w:rsidRDefault="00A14219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4349.0</w:t>
            </w:r>
          </w:p>
        </w:tc>
        <w:tc>
          <w:tcPr>
            <w:tcW w:w="1842" w:type="dxa"/>
          </w:tcPr>
          <w:p w:rsidR="00A449CB" w:rsidRPr="00A14219" w:rsidRDefault="00A449CB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A14219">
              <w:t>8698.0</w:t>
            </w:r>
          </w:p>
        </w:tc>
      </w:tr>
      <w:tr w:rsidR="00A449CB" w:rsidTr="006765CB">
        <w:tc>
          <w:tcPr>
            <w:tcW w:w="3403" w:type="dxa"/>
          </w:tcPr>
          <w:p w:rsidR="00A449CB" w:rsidRPr="00283AF8" w:rsidRDefault="00283AF8" w:rsidP="00757927">
            <w:pPr>
              <w:pStyle w:val="22"/>
              <w:shd w:val="clear" w:color="auto" w:fill="auto"/>
              <w:spacing w:line="278" w:lineRule="exact"/>
              <w:jc w:val="center"/>
              <w:rPr>
                <w:b/>
              </w:rPr>
            </w:pPr>
            <w:r w:rsidRPr="00283AF8">
              <w:rPr>
                <w:b/>
              </w:rPr>
              <w:t>Будівлі промисловості</w:t>
            </w:r>
          </w:p>
        </w:tc>
        <w:tc>
          <w:tcPr>
            <w:tcW w:w="1701" w:type="dxa"/>
          </w:tcPr>
          <w:p w:rsidR="00A449CB" w:rsidRPr="00757927" w:rsidRDefault="00A449CB" w:rsidP="00283AF8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</w:t>
            </w:r>
            <w:r w:rsidR="00283AF8">
              <w:t>5</w:t>
            </w:r>
          </w:p>
        </w:tc>
        <w:tc>
          <w:tcPr>
            <w:tcW w:w="1418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 w:rsidRPr="001F4215">
              <w:t>М</w:t>
            </w:r>
            <w:r w:rsidRPr="001F4215">
              <w:rPr>
                <w:vertAlign w:val="superscript"/>
              </w:rPr>
              <w:t>2</w:t>
            </w:r>
            <w:r w:rsidRPr="001F4215">
              <w:t xml:space="preserve"> загальної площі</w:t>
            </w:r>
          </w:p>
        </w:tc>
        <w:tc>
          <w:tcPr>
            <w:tcW w:w="1701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sz w:val="28"/>
                <w:szCs w:val="28"/>
                <w:lang w:val="ru-RU"/>
              </w:rPr>
            </w:pPr>
            <w:r w:rsidRPr="001F4215">
              <w:t>реконструкція</w:t>
            </w:r>
          </w:p>
        </w:tc>
        <w:tc>
          <w:tcPr>
            <w:tcW w:w="1842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lang w:val="ru-RU"/>
              </w:rPr>
              <w:t>н</w:t>
            </w:r>
            <w:r>
              <w:t>ов</w:t>
            </w:r>
            <w:proofErr w:type="spellEnd"/>
            <w:r>
              <w:rPr>
                <w:lang w:val="ru-RU"/>
              </w:rPr>
              <w:t xml:space="preserve">е </w:t>
            </w:r>
            <w:r w:rsidRPr="001F4215">
              <w:t>будівництво</w:t>
            </w:r>
          </w:p>
        </w:tc>
      </w:tr>
      <w:tr w:rsidR="00A449CB" w:rsidTr="006765CB">
        <w:tc>
          <w:tcPr>
            <w:tcW w:w="3403" w:type="dxa"/>
          </w:tcPr>
          <w:p w:rsidR="00A449CB" w:rsidRPr="00757927" w:rsidRDefault="00283AF8" w:rsidP="00757927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Склади спеціальних товарів</w:t>
            </w:r>
            <w:r w:rsidR="00A449CB">
              <w:t xml:space="preserve">   </w:t>
            </w:r>
          </w:p>
        </w:tc>
        <w:tc>
          <w:tcPr>
            <w:tcW w:w="1701" w:type="dxa"/>
          </w:tcPr>
          <w:p w:rsidR="00A449CB" w:rsidRPr="00757927" w:rsidRDefault="00A449CB" w:rsidP="00283AF8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12</w:t>
            </w:r>
            <w:r w:rsidR="00283AF8">
              <w:t>52</w:t>
            </w:r>
          </w:p>
        </w:tc>
        <w:tc>
          <w:tcPr>
            <w:tcW w:w="1418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-«-</w:t>
            </w:r>
          </w:p>
        </w:tc>
        <w:tc>
          <w:tcPr>
            <w:tcW w:w="1701" w:type="dxa"/>
          </w:tcPr>
          <w:p w:rsidR="00A449CB" w:rsidRPr="00283AF8" w:rsidRDefault="00283AF8" w:rsidP="009D1AA1">
            <w:pPr>
              <w:pStyle w:val="22"/>
              <w:shd w:val="clear" w:color="auto" w:fill="auto"/>
              <w:spacing w:line="278" w:lineRule="exact"/>
              <w:jc w:val="center"/>
              <w:rPr>
                <w:lang w:val="ru-RU"/>
              </w:rPr>
            </w:pPr>
            <w:r w:rsidRPr="00283AF8">
              <w:rPr>
                <w:lang w:val="ru-RU"/>
              </w:rPr>
              <w:t>3383</w:t>
            </w:r>
            <w:r w:rsidR="00A14219" w:rsidRPr="00283AF8">
              <w:rPr>
                <w:lang w:val="ru-RU"/>
              </w:rPr>
              <w:t>.0</w:t>
            </w:r>
          </w:p>
        </w:tc>
        <w:tc>
          <w:tcPr>
            <w:tcW w:w="1842" w:type="dxa"/>
          </w:tcPr>
          <w:p w:rsidR="00A449CB" w:rsidRPr="00A14219" w:rsidRDefault="00283AF8" w:rsidP="009D1AA1">
            <w:pPr>
              <w:pStyle w:val="22"/>
              <w:shd w:val="clear" w:color="auto" w:fill="auto"/>
              <w:spacing w:line="278" w:lineRule="exact"/>
              <w:jc w:val="center"/>
            </w:pPr>
            <w:r>
              <w:t>6766.0</w:t>
            </w:r>
          </w:p>
        </w:tc>
      </w:tr>
    </w:tbl>
    <w:p w:rsidR="002C64D2" w:rsidRDefault="000F39F1" w:rsidP="002C64D2">
      <w:pPr>
        <w:widowControl/>
        <w:jc w:val="both"/>
        <w:rPr>
          <w:sz w:val="28"/>
          <w:szCs w:val="28"/>
          <w:lang w:val="ru-RU"/>
        </w:rPr>
      </w:pPr>
      <w:r w:rsidRPr="00810969">
        <w:rPr>
          <w:sz w:val="28"/>
          <w:szCs w:val="28"/>
        </w:rPr>
        <w:t xml:space="preserve">          </w:t>
      </w:r>
    </w:p>
    <w:p w:rsidR="002F350C" w:rsidRPr="002C64D2" w:rsidRDefault="002C64D2" w:rsidP="006765C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sz w:val="28"/>
          <w:szCs w:val="28"/>
          <w:lang w:val="ru-RU"/>
        </w:rPr>
        <w:tab/>
      </w:r>
      <w:r w:rsidR="000F39F1" w:rsidRPr="00810969">
        <w:rPr>
          <w:sz w:val="28"/>
          <w:szCs w:val="28"/>
        </w:rPr>
        <w:t xml:space="preserve"> 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артість спорудження 1 </w:t>
      </w:r>
      <w:proofErr w:type="spellStart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кв.м</w:t>
      </w:r>
      <w:proofErr w:type="spellEnd"/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площі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житлових </w:t>
      </w:r>
      <w:r w:rsidR="00D9084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буд</w:t>
      </w:r>
      <w:r w:rsidR="00D9084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  <w:r w:rsidR="00EB6BC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вель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(з урахуванням </w:t>
      </w:r>
      <w:r w:rsidR="006765CB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ПДВ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), </w:t>
      </w:r>
      <w:r w:rsidR="00A14219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встановлена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згідно показників опосередкованої вартості спорудження житла за регіонами України та затверджених наказом Міністерства регіонального розвитку, будівництва та житлово-комун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ального господарства України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06.12.2018</w:t>
      </w:r>
      <w:r w:rsidR="006765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р. №</w:t>
      </w:r>
      <w:r w:rsidR="006765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335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показники опосередкованої вартості спорудження житла за регіонами України» 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та згідно листа Міністерства регіонального розвитку, будівництва та житлово-комунального господарства України від 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17.10.2018№7/15.3-10900-18 «Про індекси зміни вартості будівельних робіт» 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на 201</w:t>
      </w:r>
      <w:r w:rsidR="003313E3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рік.</w:t>
      </w:r>
    </w:p>
    <w:p w:rsidR="002F350C" w:rsidRPr="002C64D2" w:rsidRDefault="00C54C9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ab/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артість будівництва 1 </w:t>
      </w:r>
      <w:proofErr w:type="spellStart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кв.м</w:t>
      </w:r>
      <w:proofErr w:type="spellEnd"/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площі </w:t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 житлових  будівель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2F350C" w:rsidRPr="002C64D2" w:rsidRDefault="0041635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(з урахуванням ПДВ)</w:t>
      </w:r>
      <w:r w:rsidR="00D91937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встановлена згідно показників опосередкованої вартості спорудження не житлових будівель за регіонами України та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згідно листа Міністерства регіонального розвитку, будівництва та житлово-комуна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льного господарства України від 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17</w:t>
      </w:r>
      <w:r w:rsidR="005C6A71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.10.2018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№7/15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.3-10900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A43B02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18</w:t>
      </w:r>
      <w:r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«Про індекси з</w:t>
      </w:r>
      <w:r w:rsidR="002F350C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міни вартості будівельних робі»</w:t>
      </w:r>
      <w:r w:rsidR="00D91937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 2019рік.</w:t>
      </w:r>
      <w:r w:rsidR="005C6A71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</w:p>
    <w:p w:rsidR="00585C7D" w:rsidRPr="002C64D2" w:rsidRDefault="00C54C94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6765C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В подальшому при розрахунках розміру пайової участі замовників будівництва (реконструкції) у створенні і розвитку інженерно-транспортної та соціальної інфраструктури </w:t>
      </w:r>
      <w:proofErr w:type="spellStart"/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Кам’янсько-Дніпроовської</w:t>
      </w:r>
      <w:proofErr w:type="spellEnd"/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міської 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ради на момент укладення Договору про пайову участь користуватися відповідними показниками опосередкованої вартості спорудження </w:t>
      </w:r>
      <w:r w:rsidR="007C48D6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об’єктів житло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вого та нежитлового призначення</w:t>
      </w:r>
      <w:r w:rsidR="00416354" w:rsidRPr="002C64D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згідно останньої на той час інформації Міністерства регіонального розвитку, будівництва та житлово-комунального господарства України.</w:t>
      </w:r>
    </w:p>
    <w:p w:rsidR="00E70470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E70470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tbl>
      <w:tblPr>
        <w:tblStyle w:val="a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126"/>
      </w:tblGrid>
      <w:tr w:rsidR="00E70470" w:rsidRPr="00B7555A" w:rsidTr="00220473">
        <w:trPr>
          <w:trHeight w:val="643"/>
        </w:trPr>
        <w:tc>
          <w:tcPr>
            <w:tcW w:w="7054" w:type="dxa"/>
          </w:tcPr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міської ради </w:t>
            </w:r>
          </w:p>
        </w:tc>
        <w:tc>
          <w:tcPr>
            <w:tcW w:w="2126" w:type="dxa"/>
          </w:tcPr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55A">
              <w:rPr>
                <w:rFonts w:ascii="Times New Roman" w:hAnsi="Times New Roman" w:cs="Times New Roman"/>
                <w:sz w:val="28"/>
                <w:szCs w:val="28"/>
              </w:rPr>
              <w:t xml:space="preserve">Д.Л. </w:t>
            </w:r>
            <w:proofErr w:type="spellStart"/>
            <w:r w:rsidRPr="00B7555A">
              <w:rPr>
                <w:rFonts w:ascii="Times New Roman" w:hAnsi="Times New Roman" w:cs="Times New Roman"/>
                <w:sz w:val="28"/>
                <w:szCs w:val="28"/>
              </w:rPr>
              <w:t>Тягун</w:t>
            </w:r>
            <w:proofErr w:type="spellEnd"/>
          </w:p>
          <w:p w:rsidR="00E70470" w:rsidRPr="00B7555A" w:rsidRDefault="00E70470" w:rsidP="00E70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0470" w:rsidRPr="002C64D2" w:rsidRDefault="00E70470" w:rsidP="002C64D2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sectPr w:rsidR="00E70470" w:rsidRPr="002C64D2" w:rsidSect="00EC1305">
      <w:type w:val="continuous"/>
      <w:pgSz w:w="11909" w:h="16840"/>
      <w:pgMar w:top="284" w:right="852" w:bottom="1440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3F3" w:rsidRDefault="002043F3" w:rsidP="00585C7D">
      <w:r>
        <w:separator/>
      </w:r>
    </w:p>
  </w:endnote>
  <w:endnote w:type="continuationSeparator" w:id="0">
    <w:p w:rsidR="002043F3" w:rsidRDefault="002043F3" w:rsidP="0058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3F3" w:rsidRDefault="002043F3"/>
  </w:footnote>
  <w:footnote w:type="continuationSeparator" w:id="0">
    <w:p w:rsidR="002043F3" w:rsidRDefault="002043F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E5594"/>
    <w:multiLevelType w:val="multilevel"/>
    <w:tmpl w:val="5742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5C7D"/>
    <w:rsid w:val="00024FF4"/>
    <w:rsid w:val="00072413"/>
    <w:rsid w:val="000E1431"/>
    <w:rsid w:val="000E2EB8"/>
    <w:rsid w:val="000F39F1"/>
    <w:rsid w:val="001353FA"/>
    <w:rsid w:val="001A268F"/>
    <w:rsid w:val="001B018C"/>
    <w:rsid w:val="001F4215"/>
    <w:rsid w:val="00201586"/>
    <w:rsid w:val="002043F3"/>
    <w:rsid w:val="00220473"/>
    <w:rsid w:val="00283AF8"/>
    <w:rsid w:val="002C14D0"/>
    <w:rsid w:val="002C64D2"/>
    <w:rsid w:val="002F350C"/>
    <w:rsid w:val="003313E3"/>
    <w:rsid w:val="003767FA"/>
    <w:rsid w:val="00396C0D"/>
    <w:rsid w:val="00416354"/>
    <w:rsid w:val="00432509"/>
    <w:rsid w:val="004E63BF"/>
    <w:rsid w:val="00530844"/>
    <w:rsid w:val="00585C7D"/>
    <w:rsid w:val="005874A9"/>
    <w:rsid w:val="005C6A71"/>
    <w:rsid w:val="005C7621"/>
    <w:rsid w:val="0065037C"/>
    <w:rsid w:val="006765CB"/>
    <w:rsid w:val="00684C74"/>
    <w:rsid w:val="00757927"/>
    <w:rsid w:val="007844DE"/>
    <w:rsid w:val="007C48D6"/>
    <w:rsid w:val="00810969"/>
    <w:rsid w:val="00812E7C"/>
    <w:rsid w:val="00832B56"/>
    <w:rsid w:val="008413FA"/>
    <w:rsid w:val="008A6BA0"/>
    <w:rsid w:val="0093160E"/>
    <w:rsid w:val="00952915"/>
    <w:rsid w:val="00952935"/>
    <w:rsid w:val="00971C86"/>
    <w:rsid w:val="009C4967"/>
    <w:rsid w:val="009D1AA1"/>
    <w:rsid w:val="00A14219"/>
    <w:rsid w:val="00A31D80"/>
    <w:rsid w:val="00A34C97"/>
    <w:rsid w:val="00A43B02"/>
    <w:rsid w:val="00A449CB"/>
    <w:rsid w:val="00B1128A"/>
    <w:rsid w:val="00BD6EB5"/>
    <w:rsid w:val="00C54C94"/>
    <w:rsid w:val="00C858F7"/>
    <w:rsid w:val="00CD6D0F"/>
    <w:rsid w:val="00CE5294"/>
    <w:rsid w:val="00D04D12"/>
    <w:rsid w:val="00D36995"/>
    <w:rsid w:val="00D90842"/>
    <w:rsid w:val="00D91937"/>
    <w:rsid w:val="00DE4544"/>
    <w:rsid w:val="00E13B37"/>
    <w:rsid w:val="00E70470"/>
    <w:rsid w:val="00EB2AAA"/>
    <w:rsid w:val="00EB6BC2"/>
    <w:rsid w:val="00EC1305"/>
    <w:rsid w:val="00EC6860"/>
    <w:rsid w:val="00F2017F"/>
    <w:rsid w:val="00F274D1"/>
    <w:rsid w:val="00F47595"/>
    <w:rsid w:val="00F82EBB"/>
    <w:rsid w:val="00FD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5C7D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2C64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5C7D"/>
    <w:rPr>
      <w:color w:val="0066CC"/>
      <w:u w:val="single"/>
    </w:rPr>
  </w:style>
  <w:style w:type="character" w:customStyle="1" w:styleId="4">
    <w:name w:val="Основной текст (4)"/>
    <w:basedOn w:val="a0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585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585C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0">
    <w:name w:val="Основной текст (4)_"/>
    <w:basedOn w:val="a0"/>
    <w:link w:val="41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585C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1"/>
    <w:rsid w:val="00585C7D"/>
    <w:rPr>
      <w:b/>
      <w:bCs/>
      <w:color w:val="000000"/>
      <w:spacing w:val="0"/>
      <w:w w:val="100"/>
      <w:position w:val="0"/>
      <w:sz w:val="22"/>
      <w:szCs w:val="22"/>
      <w:lang w:val="uk-UA" w:eastAsia="uk-UA" w:bidi="uk-UA"/>
    </w:rPr>
  </w:style>
  <w:style w:type="character" w:customStyle="1" w:styleId="23">
    <w:name w:val="Основной текст (2)"/>
    <w:basedOn w:val="21"/>
    <w:rsid w:val="00585C7D"/>
    <w:rPr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24">
    <w:name w:val="Основной текст (2)"/>
    <w:basedOn w:val="21"/>
    <w:rsid w:val="00585C7D"/>
    <w:rPr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customStyle="1" w:styleId="41">
    <w:name w:val="Основной текст (4)"/>
    <w:basedOn w:val="a"/>
    <w:link w:val="40"/>
    <w:rsid w:val="00585C7D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85C7D"/>
    <w:pPr>
      <w:shd w:val="clear" w:color="auto" w:fill="FFFFFF"/>
      <w:spacing w:line="365" w:lineRule="exact"/>
      <w:ind w:firstLine="196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585C7D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585C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4">
    <w:name w:val="Title"/>
    <w:basedOn w:val="a"/>
    <w:link w:val="a5"/>
    <w:qFormat/>
    <w:rsid w:val="00F2017F"/>
    <w:pPr>
      <w:widowControl/>
      <w:jc w:val="center"/>
    </w:pPr>
    <w:rPr>
      <w:rFonts w:ascii="Times New Roman" w:eastAsia="Times New Roman" w:hAnsi="Times New Roman" w:cs="Times New Roman"/>
      <w:i/>
      <w:iCs/>
      <w:color w:val="auto"/>
      <w:lang w:eastAsia="ru-RU" w:bidi="ar-SA"/>
    </w:rPr>
  </w:style>
  <w:style w:type="character" w:customStyle="1" w:styleId="a5">
    <w:name w:val="Название Знак"/>
    <w:basedOn w:val="a0"/>
    <w:link w:val="a4"/>
    <w:rsid w:val="00F2017F"/>
    <w:rPr>
      <w:rFonts w:ascii="Times New Roman" w:eastAsia="Times New Roman" w:hAnsi="Times New Roman" w:cs="Times New Roman"/>
      <w:i/>
      <w:iCs/>
      <w:lang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F20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17F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F2017F"/>
    <w:rPr>
      <w:color w:val="000000"/>
    </w:rPr>
  </w:style>
  <w:style w:type="table" w:styleId="a9">
    <w:name w:val="Table Grid"/>
    <w:basedOn w:val="a1"/>
    <w:uiPriority w:val="59"/>
    <w:rsid w:val="00EB2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Нормальний текст"/>
    <w:basedOn w:val="a"/>
    <w:rsid w:val="00CD6D0F"/>
    <w:pPr>
      <w:widowControl/>
      <w:spacing w:before="120"/>
      <w:ind w:firstLine="567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2C6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6EE94-FE56-45D6-9808-04FFD25B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9</cp:revision>
  <cp:lastPrinted>2019-10-23T07:03:00Z</cp:lastPrinted>
  <dcterms:created xsi:type="dcterms:W3CDTF">2019-08-22T07:04:00Z</dcterms:created>
  <dcterms:modified xsi:type="dcterms:W3CDTF">2019-10-25T06:53:00Z</dcterms:modified>
</cp:coreProperties>
</file>